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  <w:noProof/>
        </w:rPr>
        <w:drawing>
          <wp:anchor distT="0" distB="0" distL="114300" distR="114300" simplePos="0" relativeHeight="251658241" behindDoc="1" locked="0" layoutInCell="1" allowOverlap="1">
            <wp:simplePos x="0" y="0"/>
            <wp:positionH relativeFrom="column">
              <wp:posOffset>5278120</wp:posOffset>
            </wp:positionH>
            <wp:positionV relativeFrom="paragraph">
              <wp:posOffset>120650</wp:posOffset>
            </wp:positionV>
            <wp:extent cx="812165" cy="988695"/>
            <wp:effectExtent l="0" t="0" r="6985" b="1905"/>
            <wp:wrapTight wrapText="bothSides">
              <wp:wrapPolygon edited="0">
                <wp:start x="0" y="0"/>
                <wp:lineTo x="0" y="21225"/>
                <wp:lineTo x="21279" y="21225"/>
                <wp:lineTo x="21279" y="0"/>
                <wp:lineTo x="0" y="0"/>
              </wp:wrapPolygon>
            </wp:wrapTight>
            <wp:docPr id="5556902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>
        <w:rPr>
          <w:noProof/>
        </w:rPr>
        <w:drawing>
          <wp:inline distT="0" distB="0" distL="0" distR="0">
            <wp:extent cx="2557849" cy="521374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318" cy="53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</w:p>
    <w:p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</w:p>
    <w:p>
      <w:pPr>
        <w:jc w:val="center"/>
        <w:rPr>
          <w:rFonts w:asciiTheme="minorHAnsi" w:hAnsiTheme="minorHAnsi"/>
          <w:b/>
          <w:sz w:val="2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40"/>
          <w:szCs w:val="40"/>
        </w:rPr>
      </w:pPr>
      <w:r>
        <w:rPr>
          <w:rFonts w:asciiTheme="minorHAnsi" w:hAnsiTheme="minorHAnsi"/>
          <w:b/>
          <w:sz w:val="40"/>
          <w:szCs w:val="40"/>
        </w:rPr>
        <w:t>Acte d’Engagement (AE)- Marché de Travaux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Contrat :  …………………</w:t>
      </w:r>
      <w:proofErr w:type="gramStart"/>
      <w:r>
        <w:rPr>
          <w:rFonts w:asciiTheme="minorHAnsi" w:hAnsiTheme="minorHAnsi"/>
          <w:bCs/>
        </w:rPr>
        <w:t>…….</w:t>
      </w:r>
      <w:proofErr w:type="gramEnd"/>
      <w:r>
        <w:rPr>
          <w:rFonts w:asciiTheme="minorHAnsi" w:hAnsiTheme="minorHAnsi"/>
          <w:bCs/>
        </w:rPr>
        <w:t>.…..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Notifié le : ……. /………. / ……………..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Cs/>
        </w:rPr>
      </w:pPr>
    </w:p>
    <w:p>
      <w:pPr>
        <w:jc w:val="center"/>
        <w:rPr>
          <w:rFonts w:asciiTheme="minorHAnsi" w:hAnsiTheme="minorHAnsi"/>
          <w:b/>
          <w:sz w:val="28"/>
        </w:rPr>
      </w:pPr>
    </w:p>
    <w:p>
      <w:pPr>
        <w:jc w:val="center"/>
        <w:rPr>
          <w:rFonts w:asciiTheme="minorHAnsi" w:hAnsiTheme="minorHAnsi"/>
          <w:b/>
          <w:sz w:val="2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40"/>
          <w:szCs w:val="4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>Marché d’assurances construction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32"/>
          <w:szCs w:val="3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>Polices « DOMMAGES OUVRAGE (DO) » et « TOUS RISQUES CHANTIER » (TRC)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Cs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Extension - Restructuration de la dialyse sur le site du Centre Hospitalier Louis Pasteur de Dole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Cs/>
        </w:rPr>
      </w:pPr>
    </w:p>
    <w:p>
      <w:pPr>
        <w:jc w:val="center"/>
        <w:rPr>
          <w:rFonts w:asciiTheme="minorHAnsi" w:hAnsiTheme="minorHAnsi"/>
          <w:b/>
          <w:sz w:val="28"/>
        </w:rPr>
      </w:pPr>
    </w:p>
    <w:p>
      <w:pPr>
        <w:rPr>
          <w:rFonts w:asciiTheme="minorHAnsi" w:hAnsiTheme="minorHAnsi"/>
          <w:sz w:val="16"/>
        </w:rPr>
      </w:pPr>
    </w:p>
    <w:p>
      <w:pPr>
        <w:widowControl w:val="0"/>
        <w:pBdr>
          <w:top w:val="single" w:sz="4" w:space="1" w:color="auto" w:shadow="1"/>
          <w:left w:val="single" w:sz="4" w:space="4" w:color="auto" w:shadow="1"/>
          <w:bottom w:val="single" w:sz="4" w:space="7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MAPA</w:t>
      </w:r>
    </w:p>
    <w:p>
      <w:pPr>
        <w:widowControl w:val="0"/>
        <w:pBdr>
          <w:top w:val="single" w:sz="4" w:space="1" w:color="auto" w:shadow="1"/>
          <w:left w:val="single" w:sz="4" w:space="4" w:color="auto" w:shadow="1"/>
          <w:bottom w:val="single" w:sz="4" w:space="7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Cs w:val="20"/>
        </w:rPr>
      </w:pPr>
    </w:p>
    <w:p>
      <w:pPr>
        <w:widowControl w:val="0"/>
        <w:pBdr>
          <w:top w:val="single" w:sz="4" w:space="1" w:color="auto" w:shadow="1"/>
          <w:left w:val="single" w:sz="4" w:space="4" w:color="auto" w:shadow="1"/>
          <w:bottom w:val="single" w:sz="4" w:space="7" w:color="auto" w:shadow="1"/>
          <w:right w:val="single" w:sz="4" w:space="4" w:color="auto" w:shadow="1"/>
        </w:pBd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szCs w:val="20"/>
        </w:rPr>
        <w:t xml:space="preserve">La procédure mise en œuvre pour ce marché est une procédure adaptée, conformément </w:t>
      </w:r>
      <w:r>
        <w:rPr>
          <w:rFonts w:asciiTheme="minorHAnsi" w:hAnsiTheme="minorHAnsi" w:cstheme="minorHAnsi"/>
          <w:color w:val="000000"/>
        </w:rPr>
        <w:t>aux articles L. 2123-1 et R. 2123-1 1° du Code de la Commande Publique</w:t>
      </w:r>
    </w:p>
    <w:p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/>
          <w:b/>
          <w:sz w:val="16"/>
          <w:szCs w:val="20"/>
        </w:rPr>
      </w:pPr>
    </w:p>
    <w:p>
      <w:pPr>
        <w:pStyle w:val="Corpsdetexte"/>
        <w:rPr>
          <w:rFonts w:ascii="Verdana"/>
          <w:b/>
        </w:rPr>
      </w:pPr>
    </w:p>
    <w:tbl>
      <w:tblPr>
        <w:tblStyle w:val="Grilledutableau"/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15"/>
        <w:gridCol w:w="5008"/>
      </w:tblGrid>
      <w:tr>
        <w:tc>
          <w:tcPr>
            <w:tcW w:w="4915" w:type="dxa"/>
          </w:tcPr>
          <w:p>
            <w:pPr>
              <w:ind w:left="209" w:hanging="11"/>
              <w:rPr>
                <w:u w:val="single"/>
              </w:rPr>
            </w:pPr>
            <w:r>
              <w:rPr>
                <w:u w:val="single"/>
              </w:rPr>
              <w:t xml:space="preserve">Etablissement Support </w:t>
            </w:r>
          </w:p>
          <w:p>
            <w:pPr>
              <w:ind w:left="209" w:hanging="11"/>
            </w:pPr>
            <w:r>
              <w:t>CHU Besançon Franche-Comté</w:t>
            </w:r>
          </w:p>
          <w:p>
            <w:pPr>
              <w:ind w:left="209" w:hanging="11"/>
            </w:pPr>
            <w:r>
              <w:t>DPIMS – Département travaux et sécurité</w:t>
            </w:r>
          </w:p>
          <w:p>
            <w:pPr>
              <w:ind w:left="209" w:hanging="11"/>
            </w:pPr>
            <w:r>
              <w:t>3 boulevard Alexandre Fleming</w:t>
            </w:r>
          </w:p>
          <w:p>
            <w:pPr>
              <w:ind w:left="209" w:hanging="11"/>
            </w:pPr>
            <w:r>
              <w:t>25030 Besançon cedex</w:t>
            </w:r>
          </w:p>
          <w:p>
            <w:pPr>
              <w:ind w:left="209" w:hanging="11"/>
            </w:pPr>
          </w:p>
          <w:p>
            <w:pPr>
              <w:ind w:left="209" w:hanging="11"/>
            </w:pPr>
            <w:r>
              <w:t>Tel : 03 81 21 80 77</w:t>
            </w:r>
          </w:p>
          <w:p>
            <w:pPr>
              <w:ind w:left="209" w:hanging="11"/>
            </w:pPr>
            <w:r>
              <w:t xml:space="preserve">Mail : </w:t>
            </w:r>
            <w:hyperlink r:id="rId12" w:history="1">
              <w:r>
                <w:rPr>
                  <w:rStyle w:val="Lienhypertexte"/>
                </w:rPr>
                <w:t>dtp@chu-besançon.fr</w:t>
              </w:r>
            </w:hyperlink>
          </w:p>
          <w:p>
            <w:pPr>
              <w:ind w:left="209" w:hanging="11"/>
            </w:pPr>
          </w:p>
        </w:tc>
        <w:tc>
          <w:tcPr>
            <w:tcW w:w="5008" w:type="dxa"/>
          </w:tcPr>
          <w:p>
            <w:pPr>
              <w:ind w:left="209" w:hanging="11"/>
              <w:rPr>
                <w:u w:val="single"/>
              </w:rPr>
            </w:pPr>
            <w:r>
              <w:rPr>
                <w:u w:val="single"/>
              </w:rPr>
              <w:t>Etablissement partie</w:t>
            </w:r>
          </w:p>
          <w:p>
            <w:pPr>
              <w:ind w:left="209" w:hanging="11"/>
            </w:pPr>
            <w:r>
              <w:t>CH Louis pasteur</w:t>
            </w:r>
          </w:p>
          <w:p>
            <w:pPr>
              <w:ind w:left="209" w:hanging="11"/>
            </w:pPr>
            <w:r>
              <w:t>DMODD – Services techniques</w:t>
            </w:r>
          </w:p>
          <w:p>
            <w:pPr>
              <w:ind w:left="209" w:hanging="11"/>
            </w:pPr>
            <w:r>
              <w:t xml:space="preserve">Av Leon Jouhaux </w:t>
            </w:r>
          </w:p>
          <w:p>
            <w:pPr>
              <w:ind w:left="209" w:hanging="11"/>
            </w:pPr>
            <w:r>
              <w:t xml:space="preserve">CS 20079 </w:t>
            </w:r>
          </w:p>
          <w:p>
            <w:pPr>
              <w:ind w:left="209" w:hanging="11"/>
            </w:pPr>
            <w:r>
              <w:t>39108 Dole Cedex</w:t>
            </w:r>
          </w:p>
          <w:p>
            <w:pPr>
              <w:ind w:left="209" w:hanging="11"/>
            </w:pPr>
          </w:p>
          <w:p>
            <w:pPr>
              <w:ind w:left="209" w:hanging="11"/>
            </w:pPr>
            <w:r>
              <w:rPr>
                <w:u w:val="single"/>
              </w:rPr>
              <w:t>Affaire suivie par</w:t>
            </w:r>
            <w:r>
              <w:t> : Philippe BRUNEAU</w:t>
            </w:r>
          </w:p>
          <w:p>
            <w:pPr>
              <w:ind w:left="209" w:hanging="11"/>
            </w:pPr>
            <w:r>
              <w:t>Ingénieur responsable technique</w:t>
            </w:r>
          </w:p>
          <w:p>
            <w:pPr>
              <w:ind w:left="209" w:hanging="11"/>
            </w:pPr>
            <w:r>
              <w:t>Tél : 03 84 79 68 51</w:t>
            </w:r>
          </w:p>
          <w:p>
            <w:pPr>
              <w:ind w:left="209" w:hanging="11"/>
            </w:pPr>
            <w:r>
              <w:t xml:space="preserve">Mail : </w:t>
            </w:r>
            <w:hyperlink r:id="rId13" w:history="1">
              <w:r>
                <w:rPr>
                  <w:rStyle w:val="Lienhypertexte"/>
                </w:rPr>
                <w:t>travaux.ingénieur@ch-dole.fr</w:t>
              </w:r>
            </w:hyperlink>
          </w:p>
          <w:p>
            <w:pPr>
              <w:ind w:left="209" w:hanging="11"/>
            </w:pPr>
          </w:p>
        </w:tc>
      </w:tr>
    </w:tbl>
    <w:p>
      <w:pPr>
        <w:rPr>
          <w:rFonts w:asciiTheme="minorHAnsi" w:hAnsiTheme="minorHAnsi"/>
          <w:b/>
          <w:i/>
        </w:rPr>
      </w:pPr>
    </w:p>
    <w:p>
      <w:pPr>
        <w:rPr>
          <w:rFonts w:asciiTheme="minorHAnsi" w:hAnsiTheme="minorHAnsi"/>
          <w:b/>
          <w:i/>
        </w:rPr>
      </w:pPr>
    </w:p>
    <w:p>
      <w:pPr>
        <w:spacing w:after="160" w:line="259" w:lineRule="auto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br w:type="page"/>
      </w:r>
    </w:p>
    <w:p>
      <w:pPr>
        <w:spacing w:line="240" w:lineRule="exact"/>
      </w:pPr>
      <w:r>
        <w:rPr>
          <w:rFonts w:ascii="Trebuchet MS" w:eastAsia="Trebuchet MS" w:hAnsi="Trebuchet MS" w:cs="Trebuchet MS"/>
          <w:color w:val="000000"/>
        </w:rPr>
        <w:lastRenderedPageBreak/>
        <w:t> </w:t>
      </w:r>
    </w:p>
    <w:p>
      <w:pPr>
        <w:spacing w:line="200" w:lineRule="exact"/>
        <w:rPr>
          <w:sz w:val="20"/>
        </w:rPr>
      </w:pPr>
      <w:r>
        <w:rPr>
          <w:rFonts w:ascii="Trebuchet MS" w:eastAsia="Trebuchet MS" w:hAnsi="Trebuchet MS" w:cs="Trebuchet MS"/>
          <w:color w:val="000000"/>
        </w:rPr>
        <w:t> </w:t>
      </w:r>
    </w:p>
    <w:p/>
    <w:p>
      <w:pPr>
        <w:spacing w:after="80"/>
        <w:rPr>
          <w:rFonts w:asciiTheme="minorHAnsi" w:eastAsia="Trebuchet MS" w:hAnsiTheme="minorHAnsi" w:cstheme="minorHAnsi"/>
          <w:b/>
          <w:color w:val="000000"/>
        </w:rPr>
      </w:pPr>
      <w:r>
        <w:rPr>
          <w:rFonts w:asciiTheme="minorHAnsi" w:eastAsia="Trebuchet MS" w:hAnsiTheme="minorHAnsi" w:cstheme="minorHAnsi"/>
          <w:b/>
          <w:color w:val="000000"/>
        </w:rPr>
        <w:t>SOMMAIRE</w:t>
      </w:r>
    </w:p>
    <w:p>
      <w:pPr>
        <w:spacing w:after="80" w:line="240" w:lineRule="exact"/>
        <w:rPr>
          <w:rFonts w:asciiTheme="minorHAnsi" w:hAnsiTheme="minorHAnsi" w:cstheme="minorHAnsi"/>
        </w:rPr>
      </w:pPr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r>
        <w:rPr>
          <w:rFonts w:asciiTheme="minorHAnsi" w:eastAsia="Trebuchet MS" w:hAnsiTheme="minorHAnsi" w:cstheme="minorHAnsi"/>
          <w:color w:val="000000"/>
        </w:rPr>
        <w:fldChar w:fldCharType="begin"/>
      </w:r>
      <w:r>
        <w:rPr>
          <w:rFonts w:asciiTheme="minorHAnsi" w:eastAsia="Trebuchet MS" w:hAnsiTheme="minorHAnsi" w:cstheme="minorHAnsi"/>
          <w:color w:val="000000"/>
        </w:rPr>
        <w:instrText xml:space="preserve"> TOC \h </w:instrText>
      </w:r>
      <w:r>
        <w:rPr>
          <w:rFonts w:asciiTheme="minorHAnsi" w:eastAsia="Trebuchet MS" w:hAnsiTheme="minorHAnsi" w:cstheme="minorHAnsi"/>
          <w:color w:val="000000"/>
        </w:rPr>
        <w:fldChar w:fldCharType="separate"/>
      </w:r>
      <w:hyperlink w:anchor="_Toc222755691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1 – Objet du marché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_Toc222755691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3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2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2 - Contractants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_Toc222755692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3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3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3 - Prix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_Toc222755693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4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4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4 - Durée d'exécution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_Toc222755694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6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5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5 - Paiement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_Toc222755695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6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6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6 - Avance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_Toc222755696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6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7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7 – Personne physique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_Toc222755697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7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Fonts w:asciiTheme="minorHAnsi" w:eastAsiaTheme="minorEastAsia" w:hAnsiTheme="minorHAnsi" w:cstheme="minorHAnsi"/>
          <w:noProof/>
          <w:kern w:val="2"/>
          <w:lang w:eastAsia="fr-FR"/>
          <w14:ligatures w14:val="standardContextual"/>
        </w:rPr>
      </w:pPr>
      <w:hyperlink w:anchor="_Toc222755698" w:history="1">
        <w:r>
          <w:rPr>
            <w:rStyle w:val="Lienhypertexte"/>
            <w:rFonts w:asciiTheme="minorHAnsi" w:eastAsia="Trebuchet MS" w:hAnsiTheme="minorHAnsi" w:cstheme="minorHAnsi"/>
            <w:noProof/>
          </w:rPr>
          <w:t>8 - Signature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_Toc222755698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7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pStyle w:val="TM1"/>
        <w:tabs>
          <w:tab w:val="right" w:leader="dot" w:pos="10041"/>
        </w:tabs>
        <w:rPr>
          <w:rStyle w:val="Lienhypertexte"/>
          <w:rFonts w:asciiTheme="minorHAnsi" w:hAnsiTheme="minorHAnsi" w:cstheme="minorHAnsi"/>
          <w:noProof/>
        </w:rPr>
      </w:pPr>
      <w:hyperlink w:anchor="_Toc222755699" w:history="1">
        <w:r>
          <w:rPr>
            <w:rStyle w:val="Lienhypertexte"/>
            <w:rFonts w:asciiTheme="minorHAnsi" w:hAnsiTheme="minorHAnsi" w:cstheme="minorHAnsi"/>
            <w:noProof/>
          </w:rPr>
          <w:t>9- Notification au titulaire du marché</w:t>
        </w:r>
        <w:r>
          <w:rPr>
            <w:rFonts w:asciiTheme="minorHAnsi" w:hAnsiTheme="minorHAnsi" w:cstheme="minorHAnsi"/>
            <w:noProof/>
          </w:rPr>
          <w:tab/>
        </w:r>
        <w:r>
          <w:rPr>
            <w:rFonts w:asciiTheme="minorHAnsi" w:hAnsiTheme="minorHAnsi" w:cstheme="minorHAnsi"/>
            <w:noProof/>
          </w:rPr>
          <w:fldChar w:fldCharType="begin"/>
        </w:r>
        <w:r>
          <w:rPr>
            <w:rFonts w:asciiTheme="minorHAnsi" w:hAnsiTheme="minorHAnsi" w:cstheme="minorHAnsi"/>
            <w:noProof/>
          </w:rPr>
          <w:instrText xml:space="preserve"> PAGEREF _Toc222755699 \h </w:instrText>
        </w:r>
        <w:r>
          <w:rPr>
            <w:rFonts w:asciiTheme="minorHAnsi" w:hAnsiTheme="minorHAnsi" w:cstheme="minorHAnsi"/>
            <w:noProof/>
          </w:rPr>
        </w:r>
        <w:r>
          <w:rPr>
            <w:rFonts w:asciiTheme="minorHAnsi" w:hAnsiTheme="minorHAnsi" w:cstheme="minorHAnsi"/>
            <w:noProof/>
          </w:rPr>
          <w:fldChar w:fldCharType="separate"/>
        </w:r>
        <w:r>
          <w:rPr>
            <w:rFonts w:asciiTheme="minorHAnsi" w:hAnsiTheme="minorHAnsi" w:cstheme="minorHAnsi"/>
            <w:noProof/>
          </w:rPr>
          <w:t>9</w:t>
        </w:r>
        <w:r>
          <w:rPr>
            <w:rFonts w:asciiTheme="minorHAnsi" w:hAnsiTheme="minorHAnsi" w:cstheme="minorHAnsi"/>
            <w:noProof/>
          </w:rPr>
          <w:fldChar w:fldCharType="end"/>
        </w:r>
      </w:hyperlink>
    </w:p>
    <w:p>
      <w:pPr>
        <w:rPr>
          <w:rFonts w:asciiTheme="minorHAnsi" w:eastAsiaTheme="minorEastAsia" w:hAnsiTheme="minorHAnsi" w:cstheme="minorHAnsi"/>
        </w:rPr>
      </w:pPr>
      <w:r>
        <w:rPr>
          <w:rFonts w:asciiTheme="minorHAnsi" w:eastAsiaTheme="minorEastAsia" w:hAnsiTheme="minorHAnsi" w:cstheme="minorHAnsi"/>
        </w:rPr>
        <w:br w:type="page"/>
      </w:r>
    </w:p>
    <w:p>
      <w:pPr>
        <w:rPr>
          <w:rFonts w:eastAsiaTheme="minorEastAsia"/>
        </w:rPr>
      </w:pPr>
    </w:p>
    <w:p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r>
        <w:rPr>
          <w:rFonts w:asciiTheme="minorHAnsi" w:eastAsia="Trebuchet MS" w:hAnsiTheme="minorHAnsi" w:cstheme="minorHAnsi"/>
          <w:color w:val="000000"/>
          <w:sz w:val="24"/>
          <w:szCs w:val="24"/>
        </w:rPr>
        <w:fldChar w:fldCharType="end"/>
      </w:r>
      <w:r>
        <w:rPr>
          <w:rFonts w:ascii="Trebuchet MS" w:eastAsia="Trebuchet MS" w:hAnsi="Trebuchet MS" w:cs="Trebuchet MS"/>
          <w:color w:val="000000"/>
          <w:sz w:val="22"/>
        </w:rPr>
        <w:t> </w:t>
      </w:r>
      <w:bookmarkStart w:id="0" w:name="ArtL1_AE-3-A1"/>
      <w:bookmarkStart w:id="1" w:name="_Toc222755691"/>
      <w:bookmarkEnd w:id="0"/>
      <w:r>
        <w:rPr>
          <w:rFonts w:ascii="Trebuchet MS" w:eastAsia="Trebuchet MS" w:hAnsi="Trebuchet MS" w:cs="Trebuchet MS"/>
          <w:color w:val="FFFFFF"/>
          <w:sz w:val="28"/>
        </w:rPr>
        <w:t>1 – Objet du marché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>
      <w:pPr>
        <w:pStyle w:val="ParagrapheIndent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Dans le cadre de l’extension - restructuration de la dialyse sur le site du Centre Hospitalier Louis Pasteur de Dole, le présent marché a pour objet la souscription ; </w:t>
      </w:r>
    </w:p>
    <w:p>
      <w:pPr>
        <w:pStyle w:val="ParagrapheIndent2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ParagrapheIndent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D’un contrat d’assurance dommages-ouvrage (DO) destiné à couvrir : </w:t>
      </w:r>
    </w:p>
    <w:p>
      <w:pPr>
        <w:pStyle w:val="ParagrapheIndent2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désordres de nature décennale conformément aux dispositions de l’article L. 242-1 du Code des Assurances.</w:t>
      </w:r>
    </w:p>
    <w:p>
      <w:pPr>
        <w:pStyle w:val="ParagrapheIndent2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Les garanties complémentaires suivantes : </w:t>
      </w:r>
    </w:p>
    <w:p>
      <w:pPr>
        <w:pStyle w:val="ParagrapheIndent2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Garantie de bon fonctionnement pour les éléments d’équipement dissociables ;</w:t>
      </w:r>
    </w:p>
    <w:p>
      <w:pPr>
        <w:pStyle w:val="ParagrapheIndent2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Dommages immatériels consécutifs à un dommage matériel garanti. </w:t>
      </w:r>
    </w:p>
    <w:p>
      <w:pPr>
        <w:pStyle w:val="ParagrapheIndent2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ParagrapheIndent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>D’un Contrat Tout Risque Chantier (TRC) destiné à couvrir :</w:t>
      </w:r>
    </w:p>
    <w:p>
      <w:pPr>
        <w:pStyle w:val="ParagrapheIndent2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L’ensemble des intervenants à la construction, pour tous dommages en cours de construction aux conditions de garantie figurant ci-dessous, sans recours contre lesdits intervenants et leurs assureurs</w:t>
      </w:r>
    </w:p>
    <w:p/>
    <w:p/>
    <w:p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Nom et Adresse de l’Etablissement support 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</w:t>
      </w:r>
      <w:r>
        <w:rPr>
          <w:rFonts w:asciiTheme="minorHAnsi" w:hAnsiTheme="minorHAnsi" w:cstheme="minorHAnsi"/>
          <w:sz w:val="22"/>
          <w:szCs w:val="22"/>
        </w:rPr>
        <w:t>entre</w:t>
      </w:r>
      <w:r>
        <w:rPr>
          <w:rFonts w:asciiTheme="minorHAnsi" w:hAnsiTheme="minorHAnsi" w:cstheme="minorHAnsi"/>
          <w:b/>
          <w:sz w:val="22"/>
          <w:szCs w:val="22"/>
        </w:rPr>
        <w:t xml:space="preserve"> H</w:t>
      </w:r>
      <w:r>
        <w:rPr>
          <w:rFonts w:asciiTheme="minorHAnsi" w:hAnsiTheme="minorHAnsi" w:cstheme="minorHAnsi"/>
          <w:sz w:val="22"/>
          <w:szCs w:val="22"/>
        </w:rPr>
        <w:t xml:space="preserve">ospitalier </w:t>
      </w:r>
      <w:r>
        <w:rPr>
          <w:rFonts w:asciiTheme="minorHAnsi" w:hAnsiTheme="minorHAnsi" w:cstheme="minorHAnsi"/>
          <w:b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>niversitaire de Besançon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 boulevard Alexandre Fleming – 25030 Besançon Cedex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Tel : 03 81 20 80 77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Personne représentant l’acheteur de l’établissement support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M. le Directeur Général du CHU Besançon Franche-Comté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Nom et Adresse de l’Etablissement Partie</w:t>
      </w:r>
    </w:p>
    <w:p>
      <w:pPr>
        <w:ind w:hanging="1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CH Louis pasteur</w:t>
      </w:r>
    </w:p>
    <w:p>
      <w:pPr>
        <w:ind w:hanging="1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DMODD – Services techniques</w:t>
      </w:r>
    </w:p>
    <w:p>
      <w:pPr>
        <w:ind w:hanging="1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Av Leon Jouhaux - CS 20079 - 39108 Dole Cedex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Tel : 03 84 79 68 51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Personne représentant l’acheteur de l’établissement partie</w:t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M. le Directeur Général du CH Louis Pasteur</w:t>
      </w:r>
    </w:p>
    <w:p>
      <w:pPr>
        <w:rPr>
          <w:rFonts w:asciiTheme="minorHAnsi" w:hAnsiTheme="minorHAnsi" w:cstheme="minorHAnsi"/>
        </w:rPr>
      </w:pPr>
    </w:p>
    <w:p>
      <w:pPr>
        <w:tabs>
          <w:tab w:val="left" w:pos="1671"/>
        </w:tabs>
        <w:rPr>
          <w:bCs/>
        </w:rPr>
      </w:pPr>
    </w:p>
    <w:p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" w:name="_Toc222755692"/>
      <w:r>
        <w:rPr>
          <w:rFonts w:ascii="Trebuchet MS" w:eastAsia="Trebuchet MS" w:hAnsi="Trebuchet MS" w:cs="Trebuchet MS"/>
          <w:color w:val="FFFFFF"/>
          <w:sz w:val="28"/>
        </w:rPr>
        <w:t>2 - Contractants</w:t>
      </w:r>
      <w:bookmarkEnd w:id="2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rPr>
          <w:rFonts w:asciiTheme="minorHAnsi" w:hAnsiTheme="minorHAnsi" w:cstheme="minorHAnsi"/>
        </w:rPr>
      </w:pPr>
      <w:bookmarkStart w:id="3" w:name="ArtL1_AE-3-A3"/>
      <w:bookmarkEnd w:id="3"/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cocontractants soussignés, engageant ainsi les personnes physiques ou morales ci-après, groupées sous forme de groupement conjoint et désignées dans le marché sous le nom « TITULAIRE » ou « CONTRACTANT »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contractant (mandataire) : </w:t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solidaire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de l’ensemble des membres du groupement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qualité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nom et pour le compte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ayant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son siège social :    n°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code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postal............... ville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inscrite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au registre du commerce de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à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l'INSEE, n° SIRET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 </w:t>
      </w:r>
    </w:p>
    <w:p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2è contractant :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qualité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nom et pour le compte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ayant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son siège social :    n°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code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postal............... ville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inscrite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au registre du commerce de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à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l'INSEE, n° SIRET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3è contractant :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qualité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nom et pour le compte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ayant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son siège social :    n°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code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postal............... ville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inscrite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au registre du commerce de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à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l'INSEE, n° SIRET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4è contractant :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qualité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nom et pour le compte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ayant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son siège social :    n°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code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postal............... ville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inscrite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au registre du commerce de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à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l'INSEE, n° SIRET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5è contractant :  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Nom et Prénom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agissant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en qualité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nom et pour le compte de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ayant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son siège social :    n°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code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postal............... ville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inscrite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au registre du commerce de </w:t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à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l'INSEE, n° SIRET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 </w:t>
      </w:r>
    </w:p>
    <w:p>
      <w:pPr>
        <w:rPr>
          <w:rFonts w:asciiTheme="minorHAnsi" w:hAnsiTheme="minorHAnsi" w:cstheme="minorHAnsi"/>
          <w:sz w:val="22"/>
          <w:szCs w:val="22"/>
        </w:rPr>
      </w:pPr>
    </w:p>
    <w:p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Les contractants groupés, après avoir pris connaissance du Cahier des Clauses Particulières (CCP) et des documents qui y sont mentionnés, </w:t>
      </w:r>
    </w:p>
    <w:p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Après avoir produit toutes les attestations prévues aux articles R2143-5 et suivants du Code de la commande publique,</w:t>
      </w:r>
    </w:p>
    <w:p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S’engagent, sans réserve, conformément aux conditions, clauses et prescriptions imposées par le CCP, à exécuter les prestations aux conditions définies par les pièces contractuelles du marché.</w:t>
      </w:r>
    </w:p>
    <w:p>
      <w:pPr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L'offre ainsi présentée nous lie toutefois que si son acceptation nous est notifiée dans le délai de 4 mois à compter de la date limite de remise des offres fixée par le règlement de la consultation.</w:t>
      </w:r>
    </w:p>
    <w:p>
      <w:pPr>
        <w:jc w:val="both"/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4" w:name="_Toc222755693"/>
      <w:r>
        <w:rPr>
          <w:rFonts w:ascii="Trebuchet MS" w:eastAsia="Trebuchet MS" w:hAnsi="Trebuchet MS" w:cs="Trebuchet MS"/>
          <w:color w:val="FFFFFF"/>
          <w:sz w:val="28"/>
        </w:rPr>
        <w:t>3 - Prix</w:t>
      </w:r>
      <w:bookmarkEnd w:id="4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spacing w:line="60" w:lineRule="exact"/>
        <w:rPr>
          <w:rFonts w:asciiTheme="minorHAnsi" w:hAnsiTheme="minorHAnsi" w:cstheme="minorHAnsi"/>
          <w:sz w:val="6"/>
        </w:rPr>
      </w:pP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ArtL1_AE-3-A6"/>
      <w:bookmarkEnd w:id="5"/>
      <w:r>
        <w:rPr>
          <w:rFonts w:asciiTheme="minorHAnsi" w:hAnsiTheme="minorHAnsi" w:cstheme="minorHAnsi"/>
          <w:color w:val="000000"/>
          <w:sz w:val="22"/>
          <w:szCs w:val="22"/>
        </w:rPr>
        <w:t>La prime des polices DO, CCRD et TRC est ajustable conformément à l’article 4.3.2 du CCP. Les montants indiqués dans l’Acte d’Engagement constituent des montants provisionnels susceptibles de réajustement dans les limites fixées au CCP.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>
      <w:pPr>
        <w:spacing w:before="1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3.1. Montant de l’offre :</w:t>
      </w:r>
    </w:p>
    <w:p>
      <w:pPr>
        <w:tabs>
          <w:tab w:val="left" w:pos="720"/>
          <w:tab w:val="left" w:pos="1080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>
      <w:pPr>
        <w:ind w:left="567" w:hanging="56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6" w:name="_Hlk207293372"/>
      <w:r>
        <w:rPr>
          <w:rFonts w:asciiTheme="minorHAnsi" w:hAnsiTheme="minorHAnsi" w:cstheme="minorHAnsi"/>
          <w:b/>
          <w:sz w:val="22"/>
          <w:szCs w:val="22"/>
          <w:u w:val="single"/>
        </w:rPr>
        <w:t>3.1.a.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ab/>
        <w:t xml:space="preserve">Assurance « Dommages-Ouvrage » </w:t>
      </w: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Sur la base du coût prévisionnel de : ……………………………………………… € (à compléter)</w:t>
      </w: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85"/>
        <w:gridCol w:w="2268"/>
        <w:gridCol w:w="1836"/>
        <w:gridCol w:w="2693"/>
      </w:tblGrid>
      <w:tr>
        <w:trPr>
          <w:cantSplit/>
          <w:trHeight w:val="340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Désignation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Taux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Montants HT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Taxes</w:t>
            </w:r>
          </w:p>
        </w:tc>
        <w:tc>
          <w:tcPr>
            <w:tcW w:w="2693" w:type="dxa"/>
            <w:tcBorders>
              <w:top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Montants TTC</w:t>
            </w:r>
          </w:p>
        </w:tc>
      </w:tr>
      <w:tr>
        <w:trPr>
          <w:cantSplit/>
          <w:trHeight w:val="4479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cantSplit/>
          <w:trHeight w:val="717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Totaux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bookmarkEnd w:id="6"/>
    <w:p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3.1.b.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ab/>
        <w:t xml:space="preserve">Assurance « Tous Risques Chantier » </w:t>
      </w: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Sur la base du coût prévisionnel de : ……………………………………………… € (à compléter)</w:t>
      </w: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85"/>
        <w:gridCol w:w="2268"/>
        <w:gridCol w:w="1836"/>
        <w:gridCol w:w="2693"/>
      </w:tblGrid>
      <w:tr>
        <w:trPr>
          <w:cantSplit/>
          <w:trHeight w:val="340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Désignation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Taux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Montants HT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Taxes</w:t>
            </w:r>
          </w:p>
        </w:tc>
        <w:tc>
          <w:tcPr>
            <w:tcW w:w="2693" w:type="dxa"/>
            <w:tcBorders>
              <w:top w:val="single" w:sz="6" w:space="0" w:color="auto"/>
              <w:right w:val="single" w:sz="6" w:space="0" w:color="auto"/>
            </w:tcBorders>
            <w:shd w:val="clear" w:color="auto" w:fill="DAEEF3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Montants TTC</w:t>
            </w:r>
          </w:p>
        </w:tc>
      </w:tr>
      <w:tr>
        <w:trPr>
          <w:cantSplit/>
          <w:trHeight w:val="4479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>
        <w:trPr>
          <w:cantSplit/>
          <w:trHeight w:val="717"/>
          <w:jc w:val="center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Totaux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spacing w:before="120"/>
        <w:ind w:left="539" w:hanging="539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3.2. Sous-traitance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spacing w:line="140" w:lineRule="exact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>
      <w:pPr>
        <w:pStyle w:val="En-tte"/>
        <w:tabs>
          <w:tab w:val="clear" w:pos="4536"/>
          <w:tab w:val="clear" w:pos="9072"/>
          <w:tab w:val="left" w:pos="360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Les annexes n° 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>
        <w:rPr>
          <w:rFonts w:asciiTheme="minorHAnsi" w:hAnsiTheme="minorHAnsi" w:cstheme="minorHAnsi"/>
          <w:sz w:val="22"/>
          <w:szCs w:val="22"/>
        </w:rPr>
        <w:t>au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présent acte d'engagement indiquent la nature et le montant des prestations que j’envisage (nous envisageons) de faire exécuter par des sous-traitants. Le montant des prestations sous-traitées indiqué dans chaque annexe constitue le montant maximal de la créance que le sous-traitant concerné pourra présenter en nantissement ou céder.</w:t>
      </w:r>
    </w:p>
    <w:p>
      <w:pPr>
        <w:pStyle w:val="En-tte"/>
        <w:tabs>
          <w:tab w:val="clear" w:pos="4536"/>
          <w:tab w:val="clear" w:pos="9072"/>
          <w:tab w:val="left" w:pos="360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sz w:val="22"/>
          <w:szCs w:val="22"/>
        </w:rPr>
      </w:pPr>
    </w:p>
    <w:p>
      <w:pPr>
        <w:pStyle w:val="En-tte"/>
        <w:tabs>
          <w:tab w:val="clear" w:pos="4536"/>
          <w:tab w:val="clear" w:pos="9072"/>
          <w:tab w:val="left" w:pos="0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Chaque annexe constitue une demande d'acceptation du sous-traitant concerné et d'agrément de ses conditions de paiement. Elle précise en outre si le sous-traitant souhaite bénéficier du versement de l’avance.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spacing w:line="140" w:lineRule="exact"/>
        <w:ind w:left="567"/>
        <w:jc w:val="both"/>
      </w:pP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sz w:val="22"/>
        </w:rPr>
      </w:pPr>
    </w:p>
    <w:p>
      <w:pPr>
        <w:pStyle w:val="Titre1"/>
        <w:shd w:val="clear" w:color="FD2456" w:fill="FD2456"/>
        <w:rPr>
          <w:rFonts w:asciiTheme="minorHAnsi" w:eastAsia="Trebuchet MS" w:hAnsiTheme="minorHAnsi" w:cstheme="minorHAnsi"/>
          <w:color w:val="FFFFFF"/>
          <w:sz w:val="28"/>
        </w:rPr>
      </w:pPr>
      <w:bookmarkStart w:id="7" w:name="_Toc222755694"/>
      <w:r>
        <w:rPr>
          <w:rFonts w:asciiTheme="minorHAnsi" w:eastAsia="Trebuchet MS" w:hAnsiTheme="minorHAnsi" w:cstheme="minorHAnsi"/>
          <w:color w:val="FFFFFF"/>
          <w:sz w:val="28"/>
        </w:rPr>
        <w:t>4 - Durée d'exécution</w:t>
      </w:r>
      <w:bookmarkEnd w:id="7"/>
    </w:p>
    <w:p>
      <w:pPr>
        <w:spacing w:line="60" w:lineRule="exact"/>
        <w:rPr>
          <w:rFonts w:asciiTheme="minorHAnsi" w:hAnsiTheme="minorHAnsi" w:cstheme="minorHAnsi"/>
          <w:sz w:val="6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La durée d'exécution est définie au CCP et ne peut en aucun cas être modifiée.</w:t>
      </w:r>
    </w:p>
    <w:p>
      <w:pPr>
        <w:rPr>
          <w:rFonts w:asciiTheme="minorHAnsi" w:hAnsiTheme="minorHAnsi" w:cstheme="minorHAnsi"/>
        </w:rPr>
      </w:pPr>
    </w:p>
    <w:p>
      <w:pPr>
        <w:pStyle w:val="Titre1"/>
        <w:shd w:val="clear" w:color="FD2456" w:fill="FD2456"/>
        <w:rPr>
          <w:rFonts w:asciiTheme="minorHAnsi" w:eastAsia="Trebuchet MS" w:hAnsiTheme="minorHAnsi" w:cstheme="minorHAnsi"/>
          <w:color w:val="FFFFFF"/>
          <w:sz w:val="28"/>
        </w:rPr>
      </w:pPr>
      <w:bookmarkStart w:id="8" w:name="ArtL1_AE-3-A8"/>
      <w:bookmarkStart w:id="9" w:name="_Toc222755695"/>
      <w:bookmarkEnd w:id="8"/>
      <w:r>
        <w:rPr>
          <w:rFonts w:asciiTheme="minorHAnsi" w:eastAsia="Trebuchet MS" w:hAnsiTheme="minorHAnsi" w:cstheme="minorHAnsi"/>
          <w:color w:val="FFFFFF"/>
          <w:sz w:val="28"/>
        </w:rPr>
        <w:t>5 - Paiement</w:t>
      </w:r>
      <w:bookmarkEnd w:id="9"/>
    </w:p>
    <w:p>
      <w:pPr>
        <w:spacing w:line="60" w:lineRule="exact"/>
        <w:rPr>
          <w:rFonts w:asciiTheme="minorHAnsi" w:hAnsiTheme="minorHAnsi" w:cstheme="minorHAnsi"/>
          <w:sz w:val="6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color w:val="000000"/>
        </w:rPr>
        <w:t xml:space="preserve">Le pouvoir adjudicateur se libèrera des sommes dues au titre de l'exécution des prestations en faisant porter le montant au crédit du ou des comptes suivants : </w:t>
      </w:r>
      <w:r>
        <w:rPr>
          <w:rFonts w:asciiTheme="minorHAnsi" w:hAnsiTheme="minorHAnsi" w:cstheme="minorHAnsi"/>
          <w:b/>
          <w:color w:val="FF0000"/>
        </w:rPr>
        <w:t>Joindre obligatoirement un RIB</w:t>
      </w:r>
    </w:p>
    <w:p>
      <w:pPr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  <w:sz w:val="2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  </w:t>
      </w:r>
    </w:p>
    <w:p>
      <w:pPr>
        <w:rPr>
          <w:rFonts w:asciiTheme="minorHAnsi" w:eastAsia="Trebuchet MS" w:hAnsiTheme="minorHAnsi" w:cstheme="minorHAnsi"/>
          <w:color w:val="000000"/>
          <w:sz w:val="20"/>
        </w:rPr>
      </w:pPr>
      <w:r>
        <w:rPr>
          <w:rFonts w:asciiTheme="minorHAnsi" w:eastAsia="Trebuchet MS" w:hAnsiTheme="minorHAnsi" w:cstheme="minorHAnsi"/>
          <w:color w:val="000000"/>
          <w:sz w:val="20"/>
        </w:rPr>
        <w:t>En cas de groupement, le groupement fera son affaire de la répartition entre les différents cotraitants.</w:t>
      </w:r>
    </w:p>
    <w:p>
      <w:pPr>
        <w:rPr>
          <w:rFonts w:asciiTheme="minorHAnsi" w:eastAsia="Trebuchet MS" w:hAnsiTheme="minorHAnsi" w:cstheme="minorHAnsi"/>
          <w:color w:val="000000"/>
          <w:sz w:val="20"/>
        </w:rPr>
      </w:pPr>
      <w:r>
        <w:rPr>
          <w:rFonts w:asciiTheme="minorHAnsi" w:eastAsia="Trebuchet MS" w:hAnsiTheme="minorHAnsi" w:cstheme="minorHAnsi"/>
          <w:color w:val="000000"/>
          <w:sz w:val="20"/>
        </w:rPr>
        <w:t>Toutefois, le maître d’ouvrage se libérera des sommes dues aux sous-traitants payés directement en faisant porter les montants au crédit des comptes désignés dans les annexes et les actes spéciaux.</w:t>
      </w:r>
    </w:p>
    <w:p/>
    <w:p>
      <w:pPr>
        <w:pStyle w:val="Titre1"/>
        <w:shd w:val="clear" w:color="FD2456" w:fill="FD2456"/>
        <w:rPr>
          <w:rFonts w:asciiTheme="minorHAnsi" w:eastAsia="Trebuchet MS" w:hAnsiTheme="minorHAnsi" w:cstheme="minorHAnsi"/>
          <w:color w:val="FFFFFF"/>
          <w:sz w:val="28"/>
        </w:rPr>
      </w:pPr>
      <w:bookmarkStart w:id="10" w:name="ArtL1_AE-3-A9"/>
      <w:bookmarkStart w:id="11" w:name="_Toc222755696"/>
      <w:bookmarkEnd w:id="10"/>
      <w:r>
        <w:rPr>
          <w:rFonts w:asciiTheme="minorHAnsi" w:eastAsia="Trebuchet MS" w:hAnsiTheme="minorHAnsi" w:cstheme="minorHAnsi"/>
          <w:color w:val="FFFFFF"/>
          <w:sz w:val="28"/>
        </w:rPr>
        <w:t>6 - Avance</w:t>
      </w:r>
      <w:bookmarkEnd w:id="11"/>
    </w:p>
    <w:p>
      <w:pPr>
        <w:spacing w:line="60" w:lineRule="exact"/>
        <w:rPr>
          <w:rFonts w:asciiTheme="minorHAnsi" w:hAnsiTheme="minorHAnsi" w:cstheme="minorHAnsi"/>
          <w:sz w:val="6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Pour les marchés d’un montant supérieur à 50 000 € HT, une avance est prévue conformément aux dispositions prévues à l’article R. 2191-7 du code de la commande publique et celles précisées au CCP.</w:t>
      </w:r>
    </w:p>
    <w:p/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  <w:sz w:val="2"/>
              </w:rPr>
            </w:pPr>
            <w:r>
              <w:rPr>
                <w:rFonts w:asciiTheme="minorHAnsi" w:hAnsiTheme="minorHAnsi" w:cstheme="minorHAnsi"/>
                <w:noProof/>
                <w:lang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OUI</w:t>
            </w:r>
          </w:p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>Nota :</w:t>
      </w:r>
      <w:r>
        <w:rPr>
          <w:rFonts w:asciiTheme="minorHAnsi" w:hAnsiTheme="minorHAnsi" w:cstheme="minorHAnsi"/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FD2456" w:fill="FD2456"/>
        <w:rPr>
          <w:rFonts w:asciiTheme="minorHAnsi" w:eastAsia="Trebuchet MS" w:hAnsiTheme="minorHAnsi" w:cstheme="minorHAnsi"/>
          <w:color w:val="FFFFFF"/>
          <w:sz w:val="28"/>
        </w:rPr>
      </w:pPr>
      <w:bookmarkStart w:id="12" w:name="ArtL1_AE-3-A11"/>
      <w:bookmarkStart w:id="13" w:name="_Toc222755697"/>
      <w:bookmarkEnd w:id="12"/>
      <w:r>
        <w:rPr>
          <w:rFonts w:asciiTheme="minorHAnsi" w:eastAsia="Trebuchet MS" w:hAnsiTheme="minorHAnsi" w:cstheme="minorHAnsi"/>
          <w:color w:val="FFFFFF"/>
          <w:sz w:val="28"/>
        </w:rPr>
        <w:lastRenderedPageBreak/>
        <w:t>7 – Personne physique</w:t>
      </w:r>
      <w:bookmarkEnd w:id="13"/>
    </w:p>
    <w:p>
      <w:pPr>
        <w:spacing w:line="60" w:lineRule="exact"/>
        <w:rPr>
          <w:rFonts w:asciiTheme="minorHAnsi" w:hAnsiTheme="minorHAnsi" w:cstheme="minorHAnsi"/>
          <w:sz w:val="6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La personne physique qui sera représentera le groupement pendant toute la durée d’exécution du marché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(</w:t>
      </w:r>
      <w:proofErr w:type="gramStart"/>
      <w:r>
        <w:rPr>
          <w:rFonts w:asciiTheme="minorHAnsi" w:hAnsiTheme="minorHAnsi" w:cstheme="minorHAnsi"/>
          <w:color w:val="000000"/>
        </w:rPr>
        <w:t>à</w:t>
      </w:r>
      <w:proofErr w:type="gramEnd"/>
      <w:r>
        <w:rPr>
          <w:rFonts w:asciiTheme="minorHAnsi" w:hAnsiTheme="minorHAnsi" w:cstheme="minorHAnsi"/>
          <w:color w:val="000000"/>
        </w:rPr>
        <w:t xml:space="preserve"> compléter)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Il est rappelé que le représentant devra être habilité à engager contractuellement l’ensemble des </w:t>
      </w:r>
      <w:proofErr w:type="spellStart"/>
      <w:r>
        <w:rPr>
          <w:rFonts w:asciiTheme="minorHAnsi" w:hAnsiTheme="minorHAnsi" w:cstheme="minorHAnsi"/>
          <w:color w:val="000000"/>
        </w:rPr>
        <w:t>co</w:t>
      </w:r>
      <w:proofErr w:type="spellEnd"/>
      <w:r>
        <w:rPr>
          <w:rFonts w:asciiTheme="minorHAnsi" w:hAnsiTheme="minorHAnsi" w:cstheme="minorHAnsi"/>
          <w:color w:val="000000"/>
        </w:rPr>
        <w:t>-assureurs du groupement conjoint.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</w:pPr>
      <w:r>
        <w:rPr>
          <w:rFonts w:asciiTheme="minorHAnsi" w:hAnsiTheme="minorHAnsi" w:cstheme="minorHAnsi"/>
          <w:color w:val="000000"/>
        </w:rPr>
        <w:t xml:space="preserve"> </w:t>
      </w:r>
    </w:p>
    <w:p>
      <w:pPr>
        <w:pStyle w:val="Titre1"/>
        <w:shd w:val="clear" w:color="FD2456" w:fill="FD2456"/>
        <w:rPr>
          <w:rFonts w:asciiTheme="minorHAnsi" w:eastAsia="Trebuchet MS" w:hAnsiTheme="minorHAnsi" w:cstheme="minorHAnsi"/>
          <w:color w:val="FFFFFF"/>
          <w:sz w:val="28"/>
        </w:rPr>
      </w:pPr>
      <w:r>
        <w:rPr>
          <w:rFonts w:asciiTheme="minorHAnsi" w:hAnsiTheme="minorHAnsi" w:cstheme="minorHAnsi"/>
        </w:rPr>
        <w:t> </w:t>
      </w:r>
      <w:bookmarkStart w:id="14" w:name="ArtL1_AE-3-A14"/>
      <w:bookmarkStart w:id="15" w:name="_Toc222755698"/>
      <w:bookmarkEnd w:id="14"/>
      <w:r>
        <w:rPr>
          <w:rFonts w:asciiTheme="minorHAnsi" w:eastAsia="Trebuchet MS" w:hAnsiTheme="minorHAnsi" w:cstheme="minorHAnsi"/>
          <w:color w:val="FFFFFF"/>
          <w:sz w:val="28"/>
        </w:rPr>
        <w:t>8 - Signature</w:t>
      </w:r>
      <w:bookmarkEnd w:id="15"/>
    </w:p>
    <w:p>
      <w:pPr>
        <w:spacing w:line="60" w:lineRule="exact"/>
        <w:rPr>
          <w:rFonts w:asciiTheme="minorHAnsi" w:hAnsiTheme="minorHAnsi" w:cstheme="minorHAnsi"/>
          <w:sz w:val="6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  <w:u w:val="single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i/>
          <w:color w:val="FF0000"/>
        </w:rPr>
      </w:pPr>
      <w:r>
        <w:rPr>
          <w:rFonts w:asciiTheme="minorHAnsi" w:hAnsiTheme="minorHAnsi" w:cstheme="minorHAnsi"/>
          <w:i/>
          <w:color w:val="FF0000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Fait en un seul original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u w:val="single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u w:val="single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u w:val="single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u w:val="single"/>
        </w:rPr>
      </w:pPr>
      <w:r>
        <w:rPr>
          <w:rFonts w:asciiTheme="minorHAnsi" w:hAnsiTheme="minorHAnsi" w:cstheme="minorHAnsi"/>
          <w:b/>
          <w:color w:val="000000"/>
          <w:u w:val="single"/>
        </w:rPr>
        <w:lastRenderedPageBreak/>
        <w:t>ACCEPTATION DE L'OFFRE PAR LE POUVOIR ADJUDICATEUR</w:t>
      </w:r>
    </w:p>
    <w:p>
      <w:pPr>
        <w:spacing w:before="80" w:after="120"/>
        <w:ind w:right="20"/>
        <w:rPr>
          <w:rFonts w:asciiTheme="minorHAnsi" w:eastAsia="Trebuchet MS" w:hAnsiTheme="minorHAnsi" w:cstheme="minorHAnsi"/>
          <w:color w:val="000000"/>
          <w:sz w:val="20"/>
        </w:rPr>
      </w:pPr>
    </w:p>
    <w:tbl>
      <w:tblPr>
        <w:tblW w:w="7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6"/>
        <w:gridCol w:w="3130"/>
      </w:tblGrid>
      <w:tr>
        <w:trPr>
          <w:trHeight w:val="340"/>
          <w:jc w:val="center"/>
        </w:trPr>
        <w:tc>
          <w:tcPr>
            <w:tcW w:w="41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Montant total TTC</w:t>
            </w:r>
          </w:p>
        </w:tc>
      </w:tr>
      <w:tr>
        <w:trPr>
          <w:trHeight w:val="737"/>
          <w:jc w:val="center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Assurance Dommages-Ouvrage 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>
        <w:trPr>
          <w:trHeight w:val="737"/>
          <w:jc w:val="center"/>
        </w:trPr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Assurance Tous Risques Chantier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>
        <w:trPr>
          <w:trHeight w:val="737"/>
          <w:jc w:val="center"/>
        </w:trPr>
        <w:tc>
          <w:tcPr>
            <w:tcW w:w="41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Montant total du marché 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€</w:t>
            </w:r>
          </w:p>
        </w:tc>
      </w:tr>
    </w:tbl>
    <w:p>
      <w:pPr>
        <w:spacing w:before="80" w:after="120"/>
        <w:ind w:right="20"/>
        <w:rPr>
          <w:rFonts w:asciiTheme="minorHAnsi" w:eastAsia="Trebuchet MS" w:hAnsiTheme="minorHAnsi" w:cstheme="minorHAnsi"/>
          <w:color w:val="000000"/>
          <w:sz w:val="20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La présente offre est acceptée.</w:t>
      </w:r>
    </w:p>
    <w:p>
      <w:pPr>
        <w:tabs>
          <w:tab w:val="left" w:pos="3402"/>
          <w:tab w:val="left" w:pos="6237"/>
          <w:tab w:val="left" w:pos="9072"/>
        </w:tabs>
        <w:jc w:val="both"/>
      </w:pPr>
    </w:p>
    <w:p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Le présent acte d’engagement comprend :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CaseACocher11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annexe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 RIB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annexe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 relative à la mise au point du marché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annexe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(s) n° ………….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relative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>(s) au(x) sous-traitant(s)</w:t>
      </w:r>
    </w:p>
    <w:p>
      <w:pPr>
        <w:pStyle w:val="En-tte"/>
        <w:tabs>
          <w:tab w:val="clear" w:pos="4536"/>
          <w:tab w:val="clear" w:pos="9072"/>
          <w:tab w:val="left" w:pos="426"/>
          <w:tab w:val="left" w:pos="567"/>
          <w:tab w:val="right" w:leader="dot" w:pos="4962"/>
          <w:tab w:val="left" w:pos="5103"/>
        </w:tabs>
        <w:ind w:left="426" w:hanging="426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annexe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 n° ………….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relative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 aux demandes de précisions ou de compléments sur la teneur de l’offre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b/>
          <w:i/>
          <w:sz w:val="20"/>
          <w:szCs w:val="20"/>
        </w:rPr>
        <w:t>autres</w:t>
      </w:r>
      <w:proofErr w:type="gramEnd"/>
      <w:r>
        <w:rPr>
          <w:rFonts w:asciiTheme="minorHAnsi" w:hAnsiTheme="minorHAnsi" w:cstheme="minorHAnsi"/>
          <w:b/>
          <w:i/>
          <w:sz w:val="20"/>
          <w:szCs w:val="20"/>
        </w:rPr>
        <w:t xml:space="preserve"> annexes :</w:t>
      </w:r>
    </w:p>
    <w:p>
      <w:pPr>
        <w:pStyle w:val="En-tte"/>
        <w:tabs>
          <w:tab w:val="clear" w:pos="4536"/>
          <w:tab w:val="clear" w:pos="9072"/>
          <w:tab w:val="left" w:pos="567"/>
          <w:tab w:val="right" w:leader="dot" w:pos="4962"/>
          <w:tab w:val="left" w:pos="5103"/>
        </w:tabs>
        <w:jc w:val="both"/>
        <w:rPr>
          <w:b/>
          <w:i/>
        </w:rPr>
      </w:pPr>
    </w:p>
    <w:p/>
    <w:p>
      <w:pPr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  <w:r>
        <w:rPr>
          <w:rFonts w:asciiTheme="minorHAnsi" w:hAnsiTheme="minorHAnsi" w:cstheme="minorHAnsi"/>
          <w:color w:val="000000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lang w:val="fr-FR"/>
        </w:rPr>
      </w:pPr>
    </w:p>
    <w:p>
      <w:pPr>
        <w:rPr>
          <w:rFonts w:asciiTheme="minorHAnsi" w:eastAsia="Trebuchet MS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br w:type="page"/>
      </w:r>
    </w:p>
    <w:p>
      <w:pPr>
        <w:pStyle w:val="Titre1"/>
        <w:shd w:val="clear" w:color="FD2456" w:fill="FD2456"/>
        <w:rPr>
          <w:rFonts w:asciiTheme="minorHAnsi" w:hAnsiTheme="minorHAnsi" w:cstheme="minorHAnsi"/>
          <w:color w:val="FFFFFF" w:themeColor="background1"/>
        </w:rPr>
      </w:pPr>
      <w:bookmarkStart w:id="17" w:name="_Toc222755699"/>
      <w:r>
        <w:rPr>
          <w:rFonts w:asciiTheme="minorHAnsi" w:hAnsiTheme="minorHAnsi" w:cstheme="minorHAnsi"/>
          <w:color w:val="FFFFFF" w:themeColor="background1"/>
        </w:rPr>
        <w:lastRenderedPageBreak/>
        <w:t>9- Notification au titulaire du marché</w:t>
      </w:r>
      <w:bookmarkEnd w:id="17"/>
    </w:p>
    <w:p>
      <w:r>
        <w:rPr>
          <w:noProof/>
        </w:rPr>
        <mc:AlternateContent>
          <mc:Choice Requires="wps">
            <w:drawing>
              <wp:anchor distT="0" distB="0" distL="114300" distR="114300" simplePos="0" relativeHeight="251661313" behindDoc="0" locked="0" layoutInCell="0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80010</wp:posOffset>
                </wp:positionV>
                <wp:extent cx="6400800" cy="2628900"/>
                <wp:effectExtent l="0" t="0" r="0" b="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4008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92CDDC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>
                              <w:rPr>
                                <w:rFonts w:ascii="Arial" w:hAnsi="Arial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>En cas de remise contre récépissé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 : </w:t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</w:rPr>
                              <w:t>Reçu à titre de notification une copie du présent marché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 » : </w:t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   …………………………….……, le ………………………..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58809F01" id="Rectangle 9" o:spid="_x0000_s1026" style="position:absolute;margin-left:-1pt;margin-top:6.3pt;width:7in;height:207pt;flip:y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" o:allowincell="f">
                <v:textbox>
                  <w:txbxContent>
                    <w:p w14:paraId="4C8190F1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995478">
                        <w:rPr>
                          <w:rFonts w:ascii="Arial" w:hAnsi="Arial"/>
                          <w:b/>
                          <w:color w:val="92CDDC"/>
                          <w:spacing w:val="-10"/>
                          <w:position w:val="-2"/>
                        </w:rPr>
                        <w:sym w:font="Wingdings" w:char="F06E"/>
                      </w:r>
                      <w:r>
                        <w:rPr>
                          <w:rFonts w:ascii="Arial" w:hAnsi="Arial"/>
                          <w:b/>
                          <w:color w:val="FFFF00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i/>
                        </w:rPr>
                        <w:t>En cas de remise contre récépissé</w:t>
                      </w:r>
                      <w:r>
                        <w:rPr>
                          <w:rFonts w:ascii="Arial" w:hAnsi="Arial"/>
                        </w:rPr>
                        <w:t xml:space="preserve"> : </w:t>
                      </w:r>
                    </w:p>
                    <w:p w14:paraId="21A25687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14:paraId="6BDE3EE0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</w:rPr>
                        <w:t>Reçu à titre de notification une copie du présent marché</w:t>
                      </w:r>
                      <w:r>
                        <w:rPr>
                          <w:rFonts w:ascii="Arial" w:hAnsi="Arial"/>
                        </w:rPr>
                        <w:t xml:space="preserve"> » : </w:t>
                      </w:r>
                    </w:p>
                    <w:p w14:paraId="481EFC4E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</w:p>
                    <w:p w14:paraId="67C20996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   …………………………….……, le ………………………..</w:t>
                      </w:r>
                      <w:r>
                        <w:rPr>
                          <w:rFonts w:ascii="Arial" w:hAnsi="Arial"/>
                        </w:rPr>
                        <w:tab/>
                      </w:r>
                    </w:p>
                    <w:p w14:paraId="19F6A3C0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4608"/>
        </w:tabs>
        <w:jc w:val="both"/>
      </w:pPr>
    </w:p>
    <w:p>
      <w:pPr>
        <w:tabs>
          <w:tab w:val="left" w:pos="6237"/>
        </w:tabs>
        <w:jc w:val="both"/>
      </w:pPr>
      <w:r>
        <w:tab/>
      </w:r>
    </w:p>
    <w:p>
      <w:pPr>
        <w:tabs>
          <w:tab w:val="left" w:pos="6237"/>
        </w:tabs>
        <w:jc w:val="both"/>
      </w:pPr>
    </w:p>
    <w:p>
      <w:pPr>
        <w:tabs>
          <w:tab w:val="left" w:pos="6237"/>
        </w:tabs>
        <w:jc w:val="both"/>
      </w:pPr>
    </w:p>
    <w:p>
      <w:pPr>
        <w:tabs>
          <w:tab w:val="left" w:pos="6237"/>
        </w:tabs>
        <w:jc w:val="both"/>
        <w:rPr>
          <w:sz w:val="16"/>
        </w:rPr>
      </w:pPr>
    </w:p>
    <w:p/>
    <w:p>
      <w:r>
        <w:rPr>
          <w:noProof/>
        </w:rPr>
        <mc:AlternateContent>
          <mc:Choice Requires="wps">
            <w:drawing>
              <wp:anchor distT="0" distB="0" distL="114300" distR="114300" simplePos="0" relativeHeight="251662337" behindDoc="0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13970</wp:posOffset>
                </wp:positionV>
                <wp:extent cx="6286500" cy="4057650"/>
                <wp:effectExtent l="0" t="0" r="19050" b="1905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405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92CDDC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>
                              <w:rPr>
                                <w:rFonts w:ascii="Arial" w:hAnsi="Arial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En cas d’envoi en LR AR : </w:t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729777C1" id="Rectangle 8" o:spid="_x0000_s1027" style="position:absolute;margin-left:.2pt;margin-top:1.1pt;width:495pt;height:319.5pt;z-index: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" o:allowincell="f">
                <v:textbox>
                  <w:txbxContent>
                    <w:p w14:paraId="374D306A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i/>
                        </w:rPr>
                      </w:pPr>
                      <w:r w:rsidRPr="00995478">
                        <w:rPr>
                          <w:rFonts w:ascii="Arial" w:hAnsi="Arial"/>
                          <w:b/>
                          <w:color w:val="92CDDC"/>
                          <w:spacing w:val="-10"/>
                          <w:position w:val="-2"/>
                        </w:rPr>
                        <w:sym w:font="Wingdings" w:char="F06E"/>
                      </w:r>
                      <w:r>
                        <w:rPr>
                          <w:rFonts w:ascii="Arial" w:hAnsi="Arial"/>
                          <w:b/>
                          <w:color w:val="FFFF00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i/>
                        </w:rPr>
                        <w:t xml:space="preserve">En cas d’envoi en LR AR : </w:t>
                      </w:r>
                    </w:p>
                    <w:p w14:paraId="27472E72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pStyle w:val="En-tte"/>
        <w:tabs>
          <w:tab w:val="clear" w:pos="4536"/>
          <w:tab w:val="clear" w:pos="9072"/>
        </w:tabs>
      </w:pPr>
    </w:p>
    <w:p/>
    <w:p/>
    <w:p/>
    <w:p/>
    <w:p/>
    <w:p/>
    <w:p/>
    <w:p/>
    <w:p/>
    <w:p/>
    <w:p/>
    <w:p/>
    <w:p/>
    <w:p/>
    <w:p/>
    <w:p>
      <w:pPr>
        <w:spacing w:before="120" w:after="120"/>
        <w:jc w:val="both"/>
        <w:rPr>
          <w:b/>
          <w:color w:val="FFFF00"/>
          <w:spacing w:val="-10"/>
          <w:position w:val="-2"/>
        </w:rPr>
      </w:pPr>
    </w:p>
    <w:p>
      <w:pPr>
        <w:spacing w:before="120" w:after="120"/>
        <w:jc w:val="both"/>
        <w:rPr>
          <w:b/>
          <w:color w:val="FFFF00"/>
          <w:spacing w:val="-10"/>
          <w:position w:val="-2"/>
        </w:rPr>
      </w:pPr>
    </w:p>
    <w:p>
      <w:pPr>
        <w:spacing w:after="120"/>
        <w:jc w:val="both"/>
      </w:pPr>
    </w:p>
    <w:p>
      <w:pPr>
        <w:pStyle w:val="En-tte"/>
        <w:tabs>
          <w:tab w:val="clear" w:pos="4536"/>
          <w:tab w:val="clear" w:pos="9072"/>
        </w:tabs>
        <w:rPr>
          <w:sz w:val="22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9" behindDoc="0" locked="0" layoutInCell="0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97155</wp:posOffset>
                </wp:positionV>
                <wp:extent cx="6286500" cy="2286000"/>
                <wp:effectExtent l="0" t="0" r="19050" b="1905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92CDDC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>
                              <w:rPr>
                                <w:rFonts w:ascii="Arial" w:hAnsi="Arial"/>
                                <w:b/>
                                <w:color w:val="FFFF00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</w:rPr>
                              <w:t xml:space="preserve">En cas de notification électronique : </w:t>
                            </w:r>
                          </w:p>
                          <w:p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la preuve de la réception par voie électronique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46850736" id="_x0000_s1028" style="position:absolute;margin-left:1.7pt;margin-top:7.65pt;width:495pt;height:180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" o:allowincell="f">
                <v:textbox>
                  <w:txbxContent>
                    <w:p w14:paraId="1B8EA8B2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i/>
                        </w:rPr>
                      </w:pPr>
                      <w:r w:rsidRPr="00995478">
                        <w:rPr>
                          <w:rFonts w:ascii="Arial" w:hAnsi="Arial"/>
                          <w:b/>
                          <w:color w:val="92CDDC"/>
                          <w:spacing w:val="-10"/>
                          <w:position w:val="-2"/>
                        </w:rPr>
                        <w:sym w:font="Wingdings" w:char="F06E"/>
                      </w:r>
                      <w:r>
                        <w:rPr>
                          <w:rFonts w:ascii="Arial" w:hAnsi="Arial"/>
                          <w:b/>
                          <w:color w:val="FFFF00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i/>
                        </w:rPr>
                        <w:t xml:space="preserve">En cas de notification électronique : </w:t>
                      </w:r>
                    </w:p>
                    <w:p w14:paraId="4AEA6717" w14:textId="77777777" w:rsidR="00857C71" w:rsidRDefault="00857C71" w:rsidP="00857C71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la preuve de la réception par voie électronique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En-tte"/>
        <w:tabs>
          <w:tab w:val="clear" w:pos="4536"/>
          <w:tab w:val="clear" w:pos="9072"/>
          <w:tab w:val="right" w:leader="dot" w:pos="10490"/>
        </w:tabs>
        <w:rPr>
          <w:sz w:val="22"/>
        </w:rPr>
      </w:pPr>
    </w:p>
    <w:p>
      <w:pPr>
        <w:pStyle w:val="En-tte"/>
        <w:tabs>
          <w:tab w:val="clear" w:pos="4536"/>
          <w:tab w:val="clear" w:pos="9072"/>
          <w:tab w:val="right" w:leader="dot" w:pos="10490"/>
        </w:tabs>
      </w:pPr>
    </w:p>
    <w:p>
      <w:pPr>
        <w:ind w:firstLine="720"/>
        <w:rPr>
          <w:rFonts w:asciiTheme="minorHAnsi" w:hAnsiTheme="minorHAnsi" w:cstheme="minorHAnsi"/>
          <w:b/>
          <w:bCs/>
          <w:color w:val="FFFFFF" w:themeColor="background1"/>
          <w:kern w:val="32"/>
          <w:sz w:val="32"/>
          <w:szCs w:val="32"/>
        </w:rPr>
      </w:pPr>
    </w:p>
    <w:p/>
    <w:sectPr>
      <w:pgSz w:w="11900" w:h="16840"/>
      <w:pgMar w:top="851" w:right="1140" w:bottom="993" w:left="709" w:header="284" w:footer="56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530"/>
    <w:multiLevelType w:val="multilevel"/>
    <w:tmpl w:val="A7C8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E6BD0"/>
    <w:multiLevelType w:val="hybridMultilevel"/>
    <w:tmpl w:val="60BA5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B457B"/>
    <w:multiLevelType w:val="hybridMultilevel"/>
    <w:tmpl w:val="A36CDCB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105B98"/>
    <w:multiLevelType w:val="hybridMultilevel"/>
    <w:tmpl w:val="53B4744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4888"/>
    <w:multiLevelType w:val="multilevel"/>
    <w:tmpl w:val="8C12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D0829"/>
    <w:multiLevelType w:val="multilevel"/>
    <w:tmpl w:val="A0A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C6A4D"/>
    <w:multiLevelType w:val="multilevel"/>
    <w:tmpl w:val="A9B8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84380B"/>
    <w:multiLevelType w:val="hybridMultilevel"/>
    <w:tmpl w:val="938E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32C15"/>
    <w:multiLevelType w:val="multilevel"/>
    <w:tmpl w:val="CC8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0293C"/>
    <w:multiLevelType w:val="hybridMultilevel"/>
    <w:tmpl w:val="6EA2A0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C5647"/>
    <w:multiLevelType w:val="hybridMultilevel"/>
    <w:tmpl w:val="5554F7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548BA"/>
    <w:multiLevelType w:val="multilevel"/>
    <w:tmpl w:val="A4AE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E93F19"/>
    <w:multiLevelType w:val="hybridMultilevel"/>
    <w:tmpl w:val="75EC5554"/>
    <w:lvl w:ilvl="0" w:tplc="307A2888">
      <w:start w:val="5"/>
      <w:numFmt w:val="decimal"/>
      <w:lvlText w:val="%1"/>
      <w:lvlJc w:val="left"/>
      <w:pPr>
        <w:ind w:left="4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0" w:hanging="360"/>
      </w:pPr>
    </w:lvl>
    <w:lvl w:ilvl="2" w:tplc="040C001B" w:tentative="1">
      <w:start w:val="1"/>
      <w:numFmt w:val="lowerRoman"/>
      <w:lvlText w:val="%3."/>
      <w:lvlJc w:val="right"/>
      <w:pPr>
        <w:ind w:left="1870" w:hanging="180"/>
      </w:pPr>
    </w:lvl>
    <w:lvl w:ilvl="3" w:tplc="040C000F" w:tentative="1">
      <w:start w:val="1"/>
      <w:numFmt w:val="decimal"/>
      <w:lvlText w:val="%4."/>
      <w:lvlJc w:val="left"/>
      <w:pPr>
        <w:ind w:left="2590" w:hanging="360"/>
      </w:pPr>
    </w:lvl>
    <w:lvl w:ilvl="4" w:tplc="040C0019" w:tentative="1">
      <w:start w:val="1"/>
      <w:numFmt w:val="lowerLetter"/>
      <w:lvlText w:val="%5."/>
      <w:lvlJc w:val="left"/>
      <w:pPr>
        <w:ind w:left="3310" w:hanging="360"/>
      </w:pPr>
    </w:lvl>
    <w:lvl w:ilvl="5" w:tplc="040C001B" w:tentative="1">
      <w:start w:val="1"/>
      <w:numFmt w:val="lowerRoman"/>
      <w:lvlText w:val="%6."/>
      <w:lvlJc w:val="right"/>
      <w:pPr>
        <w:ind w:left="4030" w:hanging="180"/>
      </w:pPr>
    </w:lvl>
    <w:lvl w:ilvl="6" w:tplc="040C000F" w:tentative="1">
      <w:start w:val="1"/>
      <w:numFmt w:val="decimal"/>
      <w:lvlText w:val="%7."/>
      <w:lvlJc w:val="left"/>
      <w:pPr>
        <w:ind w:left="4750" w:hanging="360"/>
      </w:pPr>
    </w:lvl>
    <w:lvl w:ilvl="7" w:tplc="040C0019" w:tentative="1">
      <w:start w:val="1"/>
      <w:numFmt w:val="lowerLetter"/>
      <w:lvlText w:val="%8."/>
      <w:lvlJc w:val="left"/>
      <w:pPr>
        <w:ind w:left="5470" w:hanging="360"/>
      </w:pPr>
    </w:lvl>
    <w:lvl w:ilvl="8" w:tplc="040C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12"/>
  </w:num>
  <w:num w:numId="5">
    <w:abstractNumId w:val="5"/>
  </w:num>
  <w:num w:numId="6">
    <w:abstractNumId w:val="8"/>
  </w:num>
  <w:num w:numId="7">
    <w:abstractNumId w:val="11"/>
  </w:num>
  <w:num w:numId="8">
    <w:abstractNumId w:val="4"/>
  </w:num>
  <w:num w:numId="9">
    <w:abstractNumId w:val="6"/>
  </w:num>
  <w:num w:numId="10">
    <w:abstractNumId w:val="0"/>
  </w:num>
  <w:num w:numId="11">
    <w:abstractNumId w:val="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1064D8E-766A-4321-AC5E-C320055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both"/>
    </w:pPr>
    <w:rPr>
      <w:rFonts w:ascii="Open Sans" w:hAnsi="Open Sans" w:cs="Open Sans"/>
      <w:lang w:eastAsia="fr-FR"/>
    </w:rPr>
  </w:style>
  <w:style w:type="paragraph" w:styleId="Corpsdetexte">
    <w:name w:val="Body Text"/>
    <w:basedOn w:val="Normal"/>
    <w:link w:val="CorpsdetexteCar"/>
    <w:semiHidden/>
    <w:pPr>
      <w:autoSpaceDE w:val="0"/>
      <w:autoSpaceDN w:val="0"/>
      <w:adjustRightInd w:val="0"/>
      <w:jc w:val="both"/>
    </w:pPr>
    <w:rPr>
      <w:sz w:val="22"/>
      <w:szCs w:val="22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Pr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39"/>
    <w:rPr>
      <w:rFonts w:ascii="Calibri" w:eastAsia="Calibri" w:hAnsi="Calibr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semiHidden/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Tab n1,Tab 1,Paragraphe de liste1,Paragraphe de liste num,Paragraphe de liste 1,Puce focus,Legende,texte de base,normal,Paragraphe liste 1,lp1,Bull - Bullet niveau 1,Lettre d'introduction,Paragrafo elenco1,Paragraphe 3,Listes"/>
    <w:basedOn w:val="Normal"/>
    <w:link w:val="ParagraphedelisteCar"/>
    <w:uiPriority w:val="34"/>
    <w:qFormat/>
    <w:pPr>
      <w:ind w:left="708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aliases w:val="Tab n1 Car,Tab 1 Car,Paragraphe de liste1 Car,Paragraphe de liste num Car,Paragraphe de liste 1 Car,Puce focus Car,Legende Car,texte de base Car,normal Car,Paragraphe liste 1 Car,lp1 Car,Bull - Bullet niveau 1 Car,Listes Car"/>
    <w:basedOn w:val="Policepardfaut"/>
    <w:link w:val="Paragraphedeliste"/>
    <w:uiPriority w:val="34"/>
    <w:rPr>
      <w:rFonts w:ascii="Calibri" w:eastAsia="Calibri" w:hAnsi="Calibri"/>
      <w:sz w:val="22"/>
      <w:szCs w:val="22"/>
      <w:lang w:val="fr-FR"/>
    </w:rPr>
  </w:style>
  <w:style w:type="paragraph" w:styleId="TM8">
    <w:name w:val="toc 8"/>
    <w:basedOn w:val="Normal"/>
    <w:next w:val="Normal"/>
    <w:autoRedefine/>
    <w:semiHidden/>
    <w:unhideWhenUsed/>
    <w:pPr>
      <w:spacing w:after="100"/>
      <w:ind w:left="1680"/>
    </w:p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Pr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/>
    </w:rPr>
  </w:style>
  <w:style w:type="paragraph" w:styleId="Retraitcorpsdetexte">
    <w:name w:val="Body Text Indent"/>
    <w:basedOn w:val="Normal"/>
    <w:link w:val="RetraitcorpsdetexteCar"/>
    <w:semiHidden/>
    <w:unhideWhenUsed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semiHidden/>
    <w:rPr>
      <w:sz w:val="24"/>
      <w:szCs w:val="24"/>
      <w:lang w:val="fr-FR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 (WN)" w:hAnsi="Univers (WN)" w:cs="Univers (WN)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ravaux.ing&#233;nieur@ch-dole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tp@chu-besan&#231;on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ad7290-2827-413d-9c68-8bb7515d5219">
      <Terms xmlns="http://schemas.microsoft.com/office/infopath/2007/PartnerControls"/>
    </lcf76f155ced4ddcb4097134ff3c332f>
    <Nomre xmlns="97ad7290-2827-413d-9c68-8bb7515d5219" xsi:nil="true"/>
    <TaxCatchAll xmlns="5294483d-a7da-4bcc-9856-5396e42c5e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2825C4263F146B3F58B103DDEAFE2" ma:contentTypeVersion="20" ma:contentTypeDescription="Crée un document." ma:contentTypeScope="" ma:versionID="a63d35dbde1eebacfcaaeacd98266df2">
  <xsd:schema xmlns:xsd="http://www.w3.org/2001/XMLSchema" xmlns:xs="http://www.w3.org/2001/XMLSchema" xmlns:p="http://schemas.microsoft.com/office/2006/metadata/properties" xmlns:ns2="97ad7290-2827-413d-9c68-8bb7515d5219" xmlns:ns3="5294483d-a7da-4bcc-9856-5396e42c5e21" targetNamespace="http://schemas.microsoft.com/office/2006/metadata/properties" ma:root="true" ma:fieldsID="9dbb874b77ac26c471f8a17b9a3b42db" ns2:_="" ns3:_="">
    <xsd:import namespace="97ad7290-2827-413d-9c68-8bb7515d5219"/>
    <xsd:import namespace="5294483d-a7da-4bcc-9856-5396e42c5e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Nomr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ad7290-2827-413d-9c68-8bb7515d52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bd4f018d-6041-405e-aa1f-55cfc072e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omre" ma:index="24" nillable="true" ma:displayName="Nomre" ma:format="Dropdown" ma:internalName="Nomre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4483d-a7da-4bcc-9856-5396e42c5e2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58d3f1-9a58-456e-af95-6c497d108473}" ma:internalName="TaxCatchAll" ma:showField="CatchAllData" ma:web="5294483d-a7da-4bcc-9856-5396e42c5e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F8434-E57C-4BA2-9E60-B66BD7334065}">
  <ds:schemaRefs>
    <ds:schemaRef ds:uri="http://schemas.microsoft.com/office/2006/metadata/properties"/>
    <ds:schemaRef ds:uri="http://schemas.microsoft.com/office/infopath/2007/PartnerControls"/>
    <ds:schemaRef ds:uri="97ad7290-2827-413d-9c68-8bb7515d5219"/>
    <ds:schemaRef ds:uri="5294483d-a7da-4bcc-9856-5396e42c5e21"/>
  </ds:schemaRefs>
</ds:datastoreItem>
</file>

<file path=customXml/itemProps2.xml><?xml version="1.0" encoding="utf-8"?>
<ds:datastoreItem xmlns:ds="http://schemas.openxmlformats.org/officeDocument/2006/customXml" ds:itemID="{ED9FDDF1-E328-4B23-BCEC-19D006B8E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ad7290-2827-413d-9c68-8bb7515d5219"/>
    <ds:schemaRef ds:uri="5294483d-a7da-4bcc-9856-5396e42c5e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B80638-9FB2-47DD-AF58-ACE4A252D5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1293</Words>
  <Characters>8208</Characters>
  <Application>Microsoft Office Word</Application>
  <DocSecurity>0</DocSecurity>
  <Lines>68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DOMINGUES Jessica</dc:creator>
  <cp:lastModifiedBy>Kevin LACHAUD (CHUB)</cp:lastModifiedBy>
  <cp:revision>2</cp:revision>
  <cp:lastPrinted>2026-02-23T15:32:00Z</cp:lastPrinted>
  <dcterms:created xsi:type="dcterms:W3CDTF">2026-04-10T07:57:00Z</dcterms:created>
  <dcterms:modified xsi:type="dcterms:W3CDTF">2026-04-10T07:57:00Z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0x01010029C2825C4263F146B3F58B103DDEAFE2</vt:lpwstr>
  </property>
  <property fmtid="{D5CDD505-2E9C-101B-9397-08002B2CF9AE}" pid="3" name="MediaServiceImageTags">
    <vt:lpwstr/>
  </property>
</Properties>
</file>